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5BC" w:rsidRPr="006655BC" w:rsidRDefault="006655BC" w:rsidP="006655BC">
      <w:pPr>
        <w:spacing w:after="200" w:line="276" w:lineRule="auto"/>
        <w:rPr>
          <w:rFonts w:ascii="Calibri" w:eastAsia="Calibri" w:hAnsi="Calibri" w:cs="Arial"/>
          <w:b/>
          <w:bCs/>
          <w:color w:val="auto"/>
          <w:sz w:val="32"/>
          <w:szCs w:val="32"/>
          <w:lang w:val="en-US"/>
        </w:rPr>
      </w:pPr>
      <w:r w:rsidRPr="006655BC">
        <w:rPr>
          <w:rFonts w:ascii="Calibri" w:eastAsia="Calibri" w:hAnsi="Calibri" w:cs="Arial"/>
          <w:b/>
          <w:bCs/>
          <w:color w:val="auto"/>
          <w:sz w:val="32"/>
          <w:szCs w:val="32"/>
          <w:lang w:val="en-US"/>
        </w:rPr>
        <w:t>GOAL 2</w:t>
      </w:r>
    </w:p>
    <w:p w:rsidR="006655BC" w:rsidRPr="006655BC" w:rsidRDefault="006655BC" w:rsidP="006655BC">
      <w:pPr>
        <w:spacing w:after="200" w:line="276" w:lineRule="auto"/>
        <w:rPr>
          <w:rFonts w:ascii="Calibri" w:eastAsia="Calibri" w:hAnsi="Calibri" w:cs="Arial"/>
          <w:color w:val="auto"/>
          <w:sz w:val="22"/>
          <w:szCs w:val="22"/>
          <w:lang w:val="en-US"/>
        </w:rPr>
      </w:pPr>
      <w:r w:rsidRPr="006655BC">
        <w:rPr>
          <w:rFonts w:ascii="Calibri" w:eastAsia="Calibri" w:hAnsi="Calibri" w:cs="Arial"/>
          <w:noProof/>
          <w:color w:val="auto"/>
          <w:sz w:val="22"/>
          <w:szCs w:val="22"/>
          <w:lang w:eastAsia="en-GB"/>
        </w:rPr>
        <w:drawing>
          <wp:inline distT="0" distB="0" distL="0" distR="0" wp14:anchorId="699F0953" wp14:editId="15359A4F">
            <wp:extent cx="8892540" cy="544511"/>
            <wp:effectExtent l="0" t="0" r="3810" b="825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6655BC" w:rsidRPr="006655BC" w:rsidRDefault="006655BC" w:rsidP="006655BC">
      <w:pPr>
        <w:spacing w:after="200" w:line="276" w:lineRule="auto"/>
        <w:jc w:val="both"/>
        <w:rPr>
          <w:rFonts w:ascii="Calibri" w:eastAsia="Calibri" w:hAnsi="Calibri" w:cs="Arial"/>
          <w:color w:val="auto"/>
          <w:sz w:val="22"/>
          <w:szCs w:val="22"/>
          <w:lang w:val="en-US"/>
        </w:rPr>
      </w:pPr>
      <w:r w:rsidRPr="006655BC">
        <w:rPr>
          <w:rFonts w:ascii="Calibri" w:eastAsia="Calibri" w:hAnsi="Calibri" w:cs="Arial"/>
          <w:color w:val="auto"/>
          <w:sz w:val="22"/>
          <w:szCs w:val="22"/>
          <w:lang w:val="en-US"/>
        </w:rPr>
        <w:t xml:space="preserve">With a network of 650,000 post offices worldwide, the postal infrastructure plays a critical role in rural areas across countries. Indeed, more than 80% of post offices are actually located in so-called rural areas, or outside the main urban centers of countries, often being the unique access point to a wide variety of services (physical delivery, financial as well as governmental services). In a number of countries such as South Korea or India, the postal </w:t>
      </w:r>
      <w:proofErr w:type="gramStart"/>
      <w:r w:rsidRPr="006655BC">
        <w:rPr>
          <w:rFonts w:ascii="Calibri" w:eastAsia="Calibri" w:hAnsi="Calibri" w:cs="Arial"/>
          <w:color w:val="auto"/>
          <w:sz w:val="22"/>
          <w:szCs w:val="22"/>
          <w:lang w:val="en-US"/>
        </w:rPr>
        <w:t>networks also provides</w:t>
      </w:r>
      <w:proofErr w:type="gramEnd"/>
      <w:r w:rsidRPr="006655BC">
        <w:rPr>
          <w:rFonts w:ascii="Calibri" w:eastAsia="Calibri" w:hAnsi="Calibri" w:cs="Arial"/>
          <w:color w:val="auto"/>
          <w:sz w:val="22"/>
          <w:szCs w:val="22"/>
          <w:lang w:val="en-US"/>
        </w:rPr>
        <w:t xml:space="preserve"> logistics services for agricultural purposes (such as fertilizers, or moving production to urban markets). Furthermore, postal services might be the unique communication hub in areas where nobody gets access to social networks through the Internet, or even suffer from bad mobile phone connectivity. </w:t>
      </w:r>
    </w:p>
    <w:p w:rsidR="006655BC" w:rsidRPr="006655BC" w:rsidRDefault="006655BC" w:rsidP="006655BC">
      <w:pPr>
        <w:spacing w:after="200" w:line="276" w:lineRule="auto"/>
        <w:jc w:val="both"/>
        <w:rPr>
          <w:rFonts w:ascii="Calibri" w:eastAsia="Calibri" w:hAnsi="Calibri" w:cs="Arial"/>
          <w:b/>
          <w:bCs/>
          <w:i/>
          <w:iCs/>
          <w:color w:val="auto"/>
          <w:sz w:val="22"/>
          <w:szCs w:val="22"/>
          <w:lang w:val="en-US"/>
        </w:rPr>
      </w:pPr>
      <w:r w:rsidRPr="006655BC">
        <w:rPr>
          <w:rFonts w:ascii="Calibri" w:eastAsia="Calibri" w:hAnsi="Calibri" w:cs="Arial"/>
          <w:b/>
          <w:bCs/>
          <w:i/>
          <w:iCs/>
          <w:color w:val="auto"/>
          <w:sz w:val="22"/>
          <w:szCs w:val="22"/>
          <w:lang w:val="en-US"/>
        </w:rPr>
        <w:t>Enriching indicator 2.a.1 with complementary data</w:t>
      </w:r>
    </w:p>
    <w:p w:rsidR="006655BC" w:rsidRPr="006655BC" w:rsidRDefault="006655BC" w:rsidP="006655BC">
      <w:pPr>
        <w:spacing w:after="200" w:line="276" w:lineRule="auto"/>
        <w:jc w:val="both"/>
        <w:rPr>
          <w:rFonts w:ascii="Calibri" w:eastAsia="Calibri" w:hAnsi="Calibri" w:cs="Arial"/>
          <w:color w:val="auto"/>
          <w:sz w:val="22"/>
          <w:szCs w:val="22"/>
          <w:lang w:val="en-US"/>
        </w:rPr>
      </w:pPr>
      <w:r w:rsidRPr="006655BC">
        <w:rPr>
          <w:rFonts w:ascii="Calibri" w:eastAsia="Calibri" w:hAnsi="Calibri" w:cs="Arial"/>
          <w:color w:val="auto"/>
          <w:sz w:val="22"/>
          <w:szCs w:val="22"/>
          <w:lang w:val="en-US"/>
        </w:rPr>
        <w:t xml:space="preserve">The indicators suggested by the UPU are supported by findings on the positive impact of access to postal services in rural areas as shown in joint research work with the World Bank (Global </w:t>
      </w:r>
      <w:proofErr w:type="spellStart"/>
      <w:r w:rsidRPr="006655BC">
        <w:rPr>
          <w:rFonts w:ascii="Calibri" w:eastAsia="Calibri" w:hAnsi="Calibri" w:cs="Arial"/>
          <w:color w:val="auto"/>
          <w:sz w:val="22"/>
          <w:szCs w:val="22"/>
          <w:lang w:val="en-US"/>
        </w:rPr>
        <w:t>Findex</w:t>
      </w:r>
      <w:proofErr w:type="spellEnd"/>
      <w:r w:rsidRPr="006655BC">
        <w:rPr>
          <w:rFonts w:ascii="Calibri" w:eastAsia="Calibri" w:hAnsi="Calibri" w:cs="Arial"/>
          <w:color w:val="auto"/>
          <w:sz w:val="22"/>
          <w:szCs w:val="22"/>
          <w:lang w:val="en-US"/>
        </w:rPr>
        <w:t>) on financial services, and ITU on connectivity (WSIS framework).</w:t>
      </w:r>
    </w:p>
    <w:p w:rsidR="006655BC" w:rsidRPr="006655BC" w:rsidRDefault="006655BC" w:rsidP="006655BC">
      <w:pPr>
        <w:spacing w:after="200" w:line="276" w:lineRule="auto"/>
        <w:jc w:val="both"/>
        <w:rPr>
          <w:rFonts w:ascii="Calibri" w:eastAsia="Calibri" w:hAnsi="Calibri" w:cs="Arial"/>
          <w:color w:val="auto"/>
          <w:sz w:val="22"/>
          <w:szCs w:val="22"/>
          <w:lang w:val="en-US"/>
        </w:rPr>
      </w:pPr>
      <w:r w:rsidRPr="006655BC">
        <w:rPr>
          <w:rFonts w:ascii="Calibri" w:eastAsia="Calibri" w:hAnsi="Calibri" w:cs="Arial"/>
          <w:color w:val="auto"/>
          <w:sz w:val="22"/>
          <w:szCs w:val="22"/>
          <w:lang w:val="en-US"/>
        </w:rPr>
        <w:t xml:space="preserve">The UPU has been collecting data on post offices in rural areas in the past, and will start collecting data on this indicator in 2016 again after the data collection was being discontinued for a number of years. More details are provided in Annex 1 under the “postal infrastructure” section. Part of the data is also publicly available on the UPU website: </w:t>
      </w:r>
      <w:hyperlink r:id="rId6" w:history="1">
        <w:r w:rsidRPr="006655BC">
          <w:rPr>
            <w:rFonts w:ascii="Calibri" w:eastAsia="Calibri" w:hAnsi="Calibri" w:cs="Arial"/>
            <w:color w:val="0000FF"/>
            <w:sz w:val="22"/>
            <w:szCs w:val="22"/>
            <w:u w:val="single"/>
            <w:lang w:val="en-US"/>
          </w:rPr>
          <w:t>http://pls.upu.int/pls/ap/ssp_report.main?p_language=AN&amp;p_choice=BROWSE</w:t>
        </w:r>
      </w:hyperlink>
      <w:r w:rsidRPr="006655BC">
        <w:rPr>
          <w:rFonts w:ascii="Calibri" w:eastAsia="Calibri" w:hAnsi="Calibri" w:cs="Arial"/>
          <w:color w:val="auto"/>
          <w:sz w:val="22"/>
          <w:szCs w:val="22"/>
          <w:lang w:val="en-US"/>
        </w:rPr>
        <w:t xml:space="preserve"> .</w:t>
      </w:r>
    </w:p>
    <w:p w:rsidR="006655BC" w:rsidRPr="006655BC" w:rsidRDefault="006655BC" w:rsidP="006655BC">
      <w:pPr>
        <w:spacing w:after="200" w:line="276" w:lineRule="auto"/>
        <w:jc w:val="both"/>
        <w:rPr>
          <w:rFonts w:ascii="Calibri" w:eastAsia="Calibri" w:hAnsi="Calibri" w:cs="Arial"/>
          <w:i/>
          <w:iCs/>
          <w:color w:val="auto"/>
          <w:sz w:val="18"/>
          <w:szCs w:val="18"/>
          <w:lang w:val="en-US"/>
        </w:rPr>
      </w:pPr>
      <w:r w:rsidRPr="006655BC">
        <w:rPr>
          <w:rFonts w:ascii="Calibri" w:eastAsia="Calibri" w:hAnsi="Calibri" w:cs="Arial"/>
          <w:i/>
          <w:iCs/>
          <w:color w:val="auto"/>
          <w:sz w:val="18"/>
          <w:szCs w:val="18"/>
          <w:lang w:val="en-US"/>
        </w:rPr>
        <w:t>References</w:t>
      </w:r>
    </w:p>
    <w:p w:rsidR="006655BC" w:rsidRPr="006655BC" w:rsidRDefault="006655BC" w:rsidP="006655BC">
      <w:pPr>
        <w:spacing w:after="200" w:line="276" w:lineRule="auto"/>
        <w:rPr>
          <w:rFonts w:ascii="Calibri" w:eastAsia="Calibri" w:hAnsi="Calibri" w:cs="Arial"/>
          <w:color w:val="auto"/>
          <w:sz w:val="18"/>
          <w:szCs w:val="18"/>
          <w:lang w:val="en-US"/>
        </w:rPr>
      </w:pPr>
      <w:proofErr w:type="spellStart"/>
      <w:proofErr w:type="gramStart"/>
      <w:r w:rsidRPr="006655BC">
        <w:rPr>
          <w:rFonts w:ascii="Calibri" w:eastAsia="Calibri" w:hAnsi="Calibri" w:cs="Arial"/>
          <w:color w:val="auto"/>
          <w:sz w:val="18"/>
          <w:szCs w:val="18"/>
          <w:lang w:val="en-US"/>
        </w:rPr>
        <w:t>Ansón</w:t>
      </w:r>
      <w:proofErr w:type="spellEnd"/>
      <w:r w:rsidRPr="006655BC">
        <w:rPr>
          <w:rFonts w:ascii="Calibri" w:eastAsia="Calibri" w:hAnsi="Calibri" w:cs="Arial"/>
          <w:color w:val="auto"/>
          <w:sz w:val="18"/>
          <w:szCs w:val="18"/>
          <w:lang w:val="en-US"/>
        </w:rPr>
        <w:t xml:space="preserve"> J., </w:t>
      </w:r>
      <w:proofErr w:type="spellStart"/>
      <w:r w:rsidRPr="006655BC">
        <w:rPr>
          <w:rFonts w:ascii="Calibri" w:eastAsia="Calibri" w:hAnsi="Calibri" w:cs="Arial"/>
          <w:color w:val="auto"/>
          <w:sz w:val="18"/>
          <w:szCs w:val="18"/>
          <w:lang w:val="en-US"/>
        </w:rPr>
        <w:t>Berthaud</w:t>
      </w:r>
      <w:proofErr w:type="spellEnd"/>
      <w:r w:rsidRPr="006655BC">
        <w:rPr>
          <w:rFonts w:ascii="Calibri" w:eastAsia="Calibri" w:hAnsi="Calibri" w:cs="Arial"/>
          <w:color w:val="auto"/>
          <w:sz w:val="18"/>
          <w:szCs w:val="18"/>
          <w:lang w:val="en-US"/>
        </w:rPr>
        <w:t xml:space="preserve"> A., </w:t>
      </w:r>
      <w:proofErr w:type="spellStart"/>
      <w:r w:rsidRPr="006655BC">
        <w:rPr>
          <w:rFonts w:ascii="Calibri" w:eastAsia="Calibri" w:hAnsi="Calibri" w:cs="Arial"/>
          <w:color w:val="auto"/>
          <w:sz w:val="18"/>
          <w:szCs w:val="18"/>
          <w:lang w:val="en-US"/>
        </w:rPr>
        <w:t>Klapper</w:t>
      </w:r>
      <w:proofErr w:type="spellEnd"/>
      <w:r w:rsidRPr="006655BC">
        <w:rPr>
          <w:rFonts w:ascii="Calibri" w:eastAsia="Calibri" w:hAnsi="Calibri" w:cs="Arial"/>
          <w:color w:val="auto"/>
          <w:sz w:val="18"/>
          <w:szCs w:val="18"/>
          <w:lang w:val="en-US"/>
        </w:rPr>
        <w:t xml:space="preserve"> L., and D. Singer (2013).</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Financial inclusion and the role of the post office.</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Policy research working paper No. 6630.</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World Bank.</w:t>
      </w:r>
      <w:proofErr w:type="gramEnd"/>
      <w:r w:rsidRPr="006655BC">
        <w:rPr>
          <w:rFonts w:ascii="Calibri" w:eastAsia="Calibri" w:hAnsi="Calibri" w:cs="Arial"/>
          <w:color w:val="auto"/>
          <w:sz w:val="18"/>
          <w:szCs w:val="18"/>
          <w:lang w:val="en-US"/>
        </w:rPr>
        <w:t xml:space="preserve"> At: </w:t>
      </w:r>
      <w:hyperlink r:id="rId7" w:history="1">
        <w:r w:rsidRPr="006655BC">
          <w:rPr>
            <w:rFonts w:ascii="Calibri" w:eastAsia="Calibri" w:hAnsi="Calibri" w:cs="Arial"/>
            <w:color w:val="0000FF"/>
            <w:sz w:val="18"/>
            <w:szCs w:val="18"/>
            <w:u w:val="single"/>
            <w:lang w:val="en-US"/>
          </w:rPr>
          <w:t>http://elibrary.worldbank.org/doi/pdf/10.1596/1813-9450-6630</w:t>
        </w:r>
      </w:hyperlink>
    </w:p>
    <w:p w:rsidR="006655BC" w:rsidRPr="006655BC" w:rsidRDefault="006655BC" w:rsidP="006655BC">
      <w:pPr>
        <w:spacing w:after="200" w:line="276" w:lineRule="auto"/>
        <w:rPr>
          <w:rFonts w:ascii="Calibri" w:eastAsia="Calibri" w:hAnsi="Calibri" w:cs="Arial"/>
          <w:color w:val="auto"/>
          <w:sz w:val="18"/>
          <w:szCs w:val="18"/>
          <w:lang w:val="en-US"/>
        </w:rPr>
      </w:pPr>
      <w:proofErr w:type="spellStart"/>
      <w:r w:rsidRPr="006655BC">
        <w:rPr>
          <w:rFonts w:ascii="Calibri" w:eastAsia="Calibri" w:hAnsi="Calibri" w:cs="Arial"/>
          <w:color w:val="auto"/>
          <w:sz w:val="18"/>
          <w:szCs w:val="18"/>
          <w:lang w:val="en-US"/>
        </w:rPr>
        <w:t>Davico</w:t>
      </w:r>
      <w:proofErr w:type="spell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G.,</w:t>
      </w:r>
      <w:proofErr w:type="gramEnd"/>
      <w:r w:rsidRPr="006655BC">
        <w:rPr>
          <w:rFonts w:ascii="Calibri" w:eastAsia="Calibri" w:hAnsi="Calibri" w:cs="Arial"/>
          <w:color w:val="auto"/>
          <w:sz w:val="18"/>
          <w:szCs w:val="18"/>
          <w:lang w:val="en-US"/>
        </w:rPr>
        <w:t xml:space="preserve"> and A. </w:t>
      </w:r>
      <w:proofErr w:type="spellStart"/>
      <w:r w:rsidRPr="006655BC">
        <w:rPr>
          <w:rFonts w:ascii="Calibri" w:eastAsia="Calibri" w:hAnsi="Calibri" w:cs="Arial"/>
          <w:color w:val="auto"/>
          <w:sz w:val="18"/>
          <w:szCs w:val="18"/>
          <w:lang w:val="en-US"/>
        </w:rPr>
        <w:t>Berthaud</w:t>
      </w:r>
      <w:proofErr w:type="spellEnd"/>
      <w:r w:rsidRPr="006655BC">
        <w:rPr>
          <w:rFonts w:ascii="Calibri" w:eastAsia="Calibri" w:hAnsi="Calibri" w:cs="Arial"/>
          <w:color w:val="auto"/>
          <w:sz w:val="18"/>
          <w:szCs w:val="18"/>
          <w:lang w:val="en-US"/>
        </w:rPr>
        <w:t xml:space="preserve">. (2012). Global Panorama on Postal Financial Inclusion: Business Models and Key Issues. </w:t>
      </w:r>
      <w:proofErr w:type="gramStart"/>
      <w:r w:rsidRPr="006655BC">
        <w:rPr>
          <w:rFonts w:ascii="Calibri" w:eastAsia="Calibri" w:hAnsi="Calibri" w:cs="Arial"/>
          <w:color w:val="auto"/>
          <w:sz w:val="18"/>
          <w:szCs w:val="18"/>
          <w:lang w:val="en-US"/>
        </w:rPr>
        <w:t>UPU.</w:t>
      </w:r>
      <w:proofErr w:type="gramEnd"/>
      <w:r w:rsidRPr="006655BC">
        <w:rPr>
          <w:rFonts w:ascii="Calibri" w:eastAsia="Calibri" w:hAnsi="Calibri" w:cs="Arial"/>
          <w:color w:val="auto"/>
          <w:sz w:val="18"/>
          <w:szCs w:val="18"/>
          <w:lang w:val="en-US"/>
        </w:rPr>
        <w:t xml:space="preserve"> </w:t>
      </w:r>
      <w:r w:rsidRPr="006655BC">
        <w:rPr>
          <w:rFonts w:ascii="Calibri" w:eastAsia="Calibri" w:hAnsi="Calibri" w:cs="Arial"/>
          <w:color w:val="auto"/>
          <w:sz w:val="18"/>
          <w:szCs w:val="18"/>
          <w:lang w:val="en-US"/>
        </w:rPr>
        <w:br/>
        <w:t xml:space="preserve">At: </w:t>
      </w:r>
      <w:hyperlink r:id="rId8" w:history="1">
        <w:r w:rsidRPr="006655BC">
          <w:rPr>
            <w:rFonts w:ascii="Calibri" w:eastAsia="Calibri" w:hAnsi="Calibri" w:cs="Arial"/>
            <w:color w:val="0000FF"/>
            <w:sz w:val="18"/>
            <w:szCs w:val="18"/>
            <w:u w:val="single"/>
            <w:lang w:val="en-US"/>
          </w:rPr>
          <w:t>http://www.upu.int/fileadmin/documentsFiles/activities/financialInclusion/globalPanoramaPostalFinancialInclusionFullEn.pdf</w:t>
        </w:r>
      </w:hyperlink>
      <w:r w:rsidRPr="006655BC">
        <w:rPr>
          <w:rFonts w:ascii="Calibri" w:eastAsia="Calibri" w:hAnsi="Calibri" w:cs="Arial"/>
          <w:color w:val="auto"/>
          <w:sz w:val="18"/>
          <w:szCs w:val="18"/>
          <w:lang w:val="en-US"/>
        </w:rPr>
        <w:t xml:space="preserve"> </w:t>
      </w:r>
    </w:p>
    <w:p w:rsidR="006655BC" w:rsidRPr="006655BC" w:rsidRDefault="006655BC" w:rsidP="006655BC">
      <w:pPr>
        <w:spacing w:after="200" w:line="276" w:lineRule="auto"/>
        <w:rPr>
          <w:rFonts w:ascii="Calibri" w:eastAsia="Calibri" w:hAnsi="Calibri" w:cs="Arial"/>
          <w:color w:val="auto"/>
          <w:sz w:val="18"/>
          <w:szCs w:val="18"/>
          <w:lang w:val="en-US"/>
        </w:rPr>
      </w:pPr>
      <w:proofErr w:type="gramStart"/>
      <w:r w:rsidRPr="006655BC">
        <w:rPr>
          <w:rFonts w:ascii="Calibri" w:eastAsia="Calibri" w:hAnsi="Calibri" w:cs="Arial"/>
          <w:color w:val="auto"/>
          <w:sz w:val="18"/>
          <w:szCs w:val="18"/>
          <w:lang w:val="en-US"/>
        </w:rPr>
        <w:t>UNCTAD.</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(2015). Information Economy Report 2015.</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Unlocking the Potential of E-commerce for Developing Countries.</w:t>
      </w:r>
      <w:proofErr w:type="gramEnd"/>
      <w:r w:rsidRPr="006655BC">
        <w:rPr>
          <w:rFonts w:ascii="Calibri" w:eastAsia="Calibri" w:hAnsi="Calibri" w:cs="Arial"/>
          <w:color w:val="auto"/>
          <w:sz w:val="18"/>
          <w:szCs w:val="18"/>
          <w:lang w:val="en-US"/>
        </w:rPr>
        <w:t xml:space="preserve"> </w:t>
      </w:r>
      <w:proofErr w:type="gramStart"/>
      <w:r w:rsidRPr="006655BC">
        <w:rPr>
          <w:rFonts w:ascii="Calibri" w:eastAsia="Calibri" w:hAnsi="Calibri" w:cs="Arial"/>
          <w:color w:val="auto"/>
          <w:sz w:val="18"/>
          <w:szCs w:val="18"/>
          <w:lang w:val="en-US"/>
        </w:rPr>
        <w:t>UNCTAD.</w:t>
      </w:r>
      <w:proofErr w:type="gramEnd"/>
      <w:r w:rsidRPr="006655BC">
        <w:rPr>
          <w:rFonts w:ascii="Calibri" w:eastAsia="Calibri" w:hAnsi="Calibri" w:cs="Arial"/>
          <w:color w:val="auto"/>
          <w:sz w:val="18"/>
          <w:szCs w:val="18"/>
          <w:lang w:val="en-US"/>
        </w:rPr>
        <w:t xml:space="preserve"> </w:t>
      </w:r>
      <w:r w:rsidRPr="006655BC">
        <w:rPr>
          <w:rFonts w:ascii="Calibri" w:eastAsia="Calibri" w:hAnsi="Calibri" w:cs="Arial"/>
          <w:color w:val="auto"/>
          <w:sz w:val="18"/>
          <w:szCs w:val="18"/>
          <w:lang w:val="en-US"/>
        </w:rPr>
        <w:br/>
        <w:t xml:space="preserve">At: </w:t>
      </w:r>
      <w:hyperlink r:id="rId9" w:history="1">
        <w:r w:rsidRPr="006655BC">
          <w:rPr>
            <w:rFonts w:ascii="Calibri" w:eastAsia="Calibri" w:hAnsi="Calibri" w:cs="Arial"/>
            <w:color w:val="0000FF"/>
            <w:sz w:val="18"/>
            <w:szCs w:val="18"/>
            <w:u w:val="single"/>
            <w:lang w:val="en-US"/>
          </w:rPr>
          <w:t>http://unctad.org/en/PublicationsLibrary/ier2015_en.pdf</w:t>
        </w:r>
      </w:hyperlink>
      <w:r w:rsidRPr="006655BC">
        <w:rPr>
          <w:rFonts w:ascii="Calibri" w:eastAsia="Calibri" w:hAnsi="Calibri" w:cs="Arial"/>
          <w:color w:val="auto"/>
          <w:sz w:val="18"/>
          <w:szCs w:val="18"/>
          <w:lang w:val="en-US"/>
        </w:rPr>
        <w:t xml:space="preserve"> </w:t>
      </w:r>
    </w:p>
    <w:p w:rsidR="0035634B" w:rsidRDefault="006655BC" w:rsidP="006655BC">
      <w:proofErr w:type="gramStart"/>
      <w:r w:rsidRPr="006655BC">
        <w:rPr>
          <w:rFonts w:ascii="Calibri" w:eastAsia="Calibri" w:hAnsi="Calibri" w:cs="Arial"/>
          <w:color w:val="auto"/>
          <w:sz w:val="18"/>
          <w:szCs w:val="18"/>
          <w:lang w:val="en-US"/>
        </w:rPr>
        <w:lastRenderedPageBreak/>
        <w:t>ITU.</w:t>
      </w:r>
      <w:proofErr w:type="gramEnd"/>
      <w:r w:rsidRPr="006655BC">
        <w:rPr>
          <w:rFonts w:ascii="Calibri" w:eastAsia="Calibri" w:hAnsi="Calibri" w:cs="Arial"/>
          <w:color w:val="auto"/>
          <w:sz w:val="18"/>
          <w:szCs w:val="18"/>
          <w:lang w:val="en-US"/>
        </w:rPr>
        <w:t xml:space="preserve"> (2014). Final WSIS Review 2014. Target 4: Connect all public libraries, museums, post offices, and national archives with ICT. </w:t>
      </w:r>
      <w:proofErr w:type="gramStart"/>
      <w:r w:rsidRPr="006655BC">
        <w:rPr>
          <w:rFonts w:ascii="Calibri" w:eastAsia="Calibri" w:hAnsi="Calibri" w:cs="Arial"/>
          <w:color w:val="auto"/>
          <w:sz w:val="18"/>
          <w:szCs w:val="18"/>
          <w:lang w:val="en-US"/>
        </w:rPr>
        <w:t>ITU.</w:t>
      </w:r>
      <w:proofErr w:type="gramEnd"/>
      <w:r w:rsidRPr="006655BC">
        <w:rPr>
          <w:rFonts w:ascii="Calibri" w:eastAsia="Calibri" w:hAnsi="Calibri" w:cs="Arial"/>
          <w:color w:val="auto"/>
          <w:sz w:val="18"/>
          <w:szCs w:val="18"/>
          <w:lang w:val="en-US"/>
        </w:rPr>
        <w:t xml:space="preserve"> </w:t>
      </w:r>
      <w:r w:rsidRPr="006655BC">
        <w:rPr>
          <w:rFonts w:ascii="Calibri" w:eastAsia="Calibri" w:hAnsi="Calibri" w:cs="Arial"/>
          <w:color w:val="auto"/>
          <w:sz w:val="18"/>
          <w:szCs w:val="18"/>
          <w:lang w:val="en-US"/>
        </w:rPr>
        <w:br/>
        <w:t xml:space="preserve">At: </w:t>
      </w:r>
      <w:hyperlink r:id="rId10" w:history="1">
        <w:r w:rsidRPr="006655BC">
          <w:rPr>
            <w:rFonts w:ascii="Calibri" w:eastAsia="Calibri" w:hAnsi="Calibri" w:cs="Arial"/>
            <w:color w:val="0000FF"/>
            <w:sz w:val="18"/>
            <w:szCs w:val="18"/>
            <w:u w:val="single"/>
            <w:lang w:val="en-US"/>
          </w:rPr>
          <w:t>http://www.itu.int/en/ITU-D/Statistics/Documents/publications/wsisreview2014/WSIS2014_review_target4.pdf</w:t>
        </w:r>
      </w:hyperlink>
      <w:bookmarkStart w:id="0" w:name="_GoBack"/>
      <w:bookmarkEnd w:id="0"/>
    </w:p>
    <w:sectPr w:rsidR="0035634B" w:rsidSect="006655BC">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5BC"/>
    <w:rsid w:val="0035634B"/>
    <w:rsid w:val="00374D74"/>
    <w:rsid w:val="00665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6655BC"/>
    <w:rPr>
      <w:rFonts w:ascii="Tahoma" w:hAnsi="Tahoma" w:cs="Tahoma"/>
      <w:sz w:val="16"/>
      <w:szCs w:val="16"/>
    </w:rPr>
  </w:style>
  <w:style w:type="character" w:customStyle="1" w:styleId="BalloonTextChar">
    <w:name w:val="Balloon Text Char"/>
    <w:basedOn w:val="DefaultParagraphFont"/>
    <w:link w:val="BalloonText"/>
    <w:uiPriority w:val="99"/>
    <w:semiHidden/>
    <w:rsid w:val="006655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6655BC"/>
    <w:rPr>
      <w:rFonts w:ascii="Tahoma" w:hAnsi="Tahoma" w:cs="Tahoma"/>
      <w:sz w:val="16"/>
      <w:szCs w:val="16"/>
    </w:rPr>
  </w:style>
  <w:style w:type="character" w:customStyle="1" w:styleId="BalloonTextChar">
    <w:name w:val="Balloon Text Char"/>
    <w:basedOn w:val="DefaultParagraphFont"/>
    <w:link w:val="BalloonText"/>
    <w:uiPriority w:val="99"/>
    <w:semiHidden/>
    <w:rsid w:val="006655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u.int/fileadmin/documentsFiles/activities/financialInclusion/globalPanoramaPostalFinancialInclusionFullEn.pdf" TargetMode="External"/><Relationship Id="rId3" Type="http://schemas.openxmlformats.org/officeDocument/2006/relationships/settings" Target="settings.xml"/><Relationship Id="rId7" Type="http://schemas.openxmlformats.org/officeDocument/2006/relationships/hyperlink" Target="http://elibrary.worldbank.org/doi/pdf/10.1596/1813-9450-6630"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ls.upu.int/pls/ap/ssp_report.main?p_language=AN&amp;p_choice=BROWSE"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www.itu.int/en/ITU-D/Statistics/Documents/publications/wsisreview2014/WSIS2014_review_target4.pdf" TargetMode="External"/><Relationship Id="rId4" Type="http://schemas.openxmlformats.org/officeDocument/2006/relationships/webSettings" Target="webSettings.xml"/><Relationship Id="rId9" Type="http://schemas.openxmlformats.org/officeDocument/2006/relationships/hyperlink" Target="http://unctad.org/en/PublicationsLibrary/ier2015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2015-05-19T19:44:00Z</dcterms:created>
  <dcterms:modified xsi:type="dcterms:W3CDTF">2015-05-19T19:44:00Z</dcterms:modified>
</cp:coreProperties>
</file>